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p>
    <w:p>
      <w:pPr>
        <w:jc w:val="center"/>
        <w:rPr>
          <w:rFonts w:ascii="黑体" w:hAnsi="黑体" w:eastAsia="黑体" w:cs="黑体"/>
          <w:sz w:val="44"/>
          <w:szCs w:val="52"/>
        </w:rPr>
      </w:pPr>
      <w:r>
        <w:rPr>
          <w:rFonts w:hint="eastAsia" w:ascii="黑体" w:hAnsi="黑体" w:eastAsia="黑体" w:cs="黑体"/>
          <w:sz w:val="44"/>
          <w:szCs w:val="52"/>
        </w:rPr>
        <w:t>《病媒生物综合管理技术规范》</w:t>
      </w:r>
    </w:p>
    <w:p>
      <w:pPr>
        <w:jc w:val="center"/>
        <w:rPr>
          <w:rFonts w:ascii="黑体" w:hAnsi="黑体" w:eastAsia="黑体" w:cs="黑体"/>
          <w:sz w:val="44"/>
          <w:szCs w:val="52"/>
        </w:rPr>
      </w:pPr>
      <w:r>
        <w:rPr>
          <w:rFonts w:hint="eastAsia" w:ascii="黑体" w:hAnsi="黑体" w:eastAsia="黑体" w:cs="黑体"/>
          <w:sz w:val="44"/>
          <w:szCs w:val="52"/>
        </w:rPr>
        <w:t>团体标准编制说明</w:t>
      </w: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《病媒生物综合管理技术规范》编制组</w:t>
      </w:r>
    </w:p>
    <w:p>
      <w:pPr>
        <w:spacing w:line="360" w:lineRule="auto"/>
        <w:jc w:val="cente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rPr>
        <w:t>二〇二三年十</w:t>
      </w:r>
      <w:r>
        <w:rPr>
          <w:rFonts w:hint="eastAsia" w:ascii="黑体" w:hAnsi="黑体" w:eastAsia="黑体" w:cs="黑体"/>
          <w:sz w:val="32"/>
          <w:szCs w:val="32"/>
          <w:lang w:val="en-US" w:eastAsia="zh-CN"/>
        </w:rPr>
        <w:t>一</w:t>
      </w:r>
      <w:r>
        <w:rPr>
          <w:rFonts w:hint="eastAsia" w:ascii="黑体" w:hAnsi="黑体" w:eastAsia="黑体" w:cs="黑体"/>
          <w:sz w:val="32"/>
          <w:szCs w:val="32"/>
        </w:rPr>
        <w:t>月</w:t>
      </w:r>
    </w:p>
    <w:p>
      <w:pPr>
        <w:jc w:val="center"/>
        <w:rPr>
          <w:rFonts w:ascii="黑体" w:hAnsi="黑体" w:eastAsia="黑体" w:cs="黑体"/>
          <w:sz w:val="36"/>
          <w:szCs w:val="44"/>
        </w:rPr>
      </w:pPr>
    </w:p>
    <w:sdt>
      <w:sdtPr>
        <w:rPr>
          <w:rFonts w:hint="eastAsia" w:ascii="黑体" w:hAnsi="黑体" w:eastAsia="黑体" w:cs="黑体"/>
          <w:sz w:val="32"/>
          <w:szCs w:val="32"/>
        </w:rPr>
        <w:id w:val="147481751"/>
        <w:docPartObj>
          <w:docPartGallery w:val="Table of Contents"/>
          <w:docPartUnique/>
        </w:docPartObj>
      </w:sdtPr>
      <w:sdtEndPr>
        <w:rPr>
          <w:rFonts w:hint="eastAsia" w:ascii="黑体" w:hAnsi="黑体" w:eastAsia="黑体" w:cs="黑体"/>
          <w:sz w:val="32"/>
          <w:szCs w:val="32"/>
        </w:rPr>
      </w:sdtEndPr>
      <w:sdtContent>
        <w:p>
          <w:pPr>
            <w:jc w:val="center"/>
            <w:rPr>
              <w:rFonts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pacing w:val="159"/>
              <w:sz w:val="32"/>
              <w:szCs w:val="32"/>
            </w:rPr>
            <w:t xml:space="preserve"> </w:t>
          </w:r>
          <w:r>
            <w:rPr>
              <w:rFonts w:hint="eastAsia" w:ascii="黑体" w:hAnsi="黑体" w:eastAsia="黑体" w:cs="黑体"/>
              <w:sz w:val="32"/>
              <w:szCs w:val="32"/>
            </w:rPr>
            <w:t xml:space="preserve"> 录</w:t>
          </w:r>
        </w:p>
        <w:p>
          <w:pPr>
            <w:pStyle w:val="14"/>
            <w:tabs>
              <w:tab w:val="right" w:leader="dot" w:pos="830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"_Toc8894" </w:instrText>
          </w:r>
          <w:r>
            <w:fldChar w:fldCharType="separate"/>
          </w:r>
          <w:r>
            <w:rPr>
              <w:rFonts w:hint="eastAsia" w:ascii="宋体" w:hAnsi="宋体" w:cs="宋体"/>
              <w:sz w:val="28"/>
              <w:szCs w:val="28"/>
            </w:rPr>
            <w:t>一、任务来源</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_Toc8894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14"/>
            <w:tabs>
              <w:tab w:val="right" w:leader="dot" w:pos="8306"/>
            </w:tabs>
            <w:rPr>
              <w:rFonts w:ascii="宋体" w:hAnsi="宋体" w:cs="宋体"/>
              <w:sz w:val="28"/>
              <w:szCs w:val="28"/>
            </w:rPr>
          </w:pPr>
          <w:r>
            <w:fldChar w:fldCharType="begin"/>
          </w:r>
          <w:r>
            <w:instrText xml:space="preserve"> HYPERLINK \l "_Toc6508" </w:instrText>
          </w:r>
          <w:r>
            <w:fldChar w:fldCharType="separate"/>
          </w:r>
          <w:r>
            <w:rPr>
              <w:rFonts w:hint="eastAsia" w:ascii="宋体" w:hAnsi="宋体" w:cs="宋体"/>
              <w:sz w:val="28"/>
              <w:szCs w:val="28"/>
            </w:rPr>
            <w:t>二、工作简况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_Toc6508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14"/>
            <w:tabs>
              <w:tab w:val="right" w:leader="dot" w:pos="8306"/>
            </w:tabs>
            <w:rPr>
              <w:rFonts w:ascii="宋体" w:hAnsi="宋体" w:cs="宋体"/>
              <w:sz w:val="28"/>
              <w:szCs w:val="28"/>
            </w:rPr>
          </w:pPr>
          <w:r>
            <w:fldChar w:fldCharType="begin"/>
          </w:r>
          <w:r>
            <w:instrText xml:space="preserve"> HYPERLINK \l "_Toc30011" </w:instrText>
          </w:r>
          <w:r>
            <w:fldChar w:fldCharType="separate"/>
          </w:r>
          <w:r>
            <w:rPr>
              <w:rFonts w:hint="eastAsia" w:ascii="宋体" w:hAnsi="宋体" w:cs="宋体"/>
              <w:sz w:val="28"/>
              <w:szCs w:val="28"/>
            </w:rPr>
            <w:t>三、标准制修订原则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_Toc30011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14"/>
            <w:tabs>
              <w:tab w:val="right" w:leader="dot" w:pos="8306"/>
            </w:tabs>
            <w:rPr>
              <w:rFonts w:ascii="宋体" w:hAnsi="宋体" w:cs="宋体"/>
              <w:sz w:val="28"/>
              <w:szCs w:val="28"/>
            </w:rPr>
          </w:pPr>
          <w:r>
            <w:fldChar w:fldCharType="begin"/>
          </w:r>
          <w:r>
            <w:instrText xml:space="preserve"> HYPERLINK \l "_Toc11959" </w:instrText>
          </w:r>
          <w:r>
            <w:fldChar w:fldCharType="separate"/>
          </w:r>
          <w:r>
            <w:rPr>
              <w:rFonts w:hint="eastAsia" w:ascii="宋体" w:hAnsi="宋体" w:cs="宋体"/>
              <w:sz w:val="28"/>
              <w:szCs w:val="28"/>
            </w:rPr>
            <w:t>四、主要编制内容及依据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_Toc11959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14"/>
            <w:tabs>
              <w:tab w:val="right" w:leader="dot" w:pos="8306"/>
            </w:tabs>
            <w:rPr>
              <w:rFonts w:ascii="宋体" w:hAnsi="宋体" w:cs="宋体"/>
              <w:sz w:val="28"/>
              <w:szCs w:val="28"/>
            </w:rPr>
          </w:pPr>
          <w:r>
            <w:fldChar w:fldCharType="begin"/>
          </w:r>
          <w:r>
            <w:instrText xml:space="preserve"> HYPERLINK \l "_Toc13886" </w:instrText>
          </w:r>
          <w:r>
            <w:fldChar w:fldCharType="separate"/>
          </w:r>
          <w:r>
            <w:rPr>
              <w:rFonts w:hint="eastAsia" w:ascii="宋体" w:hAnsi="宋体" w:cs="宋体"/>
              <w:sz w:val="28"/>
              <w:szCs w:val="28"/>
            </w:rPr>
            <w:t>五、主要试验、验证及试行结果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_Toc13886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fldChar w:fldCharType="end"/>
          </w:r>
        </w:p>
        <w:p>
          <w:pPr>
            <w:pStyle w:val="14"/>
            <w:tabs>
              <w:tab w:val="right" w:leader="dot" w:pos="8306"/>
            </w:tabs>
            <w:rPr>
              <w:rFonts w:ascii="宋体" w:hAnsi="宋体" w:cs="宋体"/>
              <w:sz w:val="28"/>
              <w:szCs w:val="28"/>
            </w:rPr>
          </w:pPr>
          <w:r>
            <w:fldChar w:fldCharType="begin"/>
          </w:r>
          <w:r>
            <w:instrText xml:space="preserve"> HYPERLINK \l "_Toc29606" </w:instrText>
          </w:r>
          <w:r>
            <w:fldChar w:fldCharType="separate"/>
          </w:r>
          <w:r>
            <w:rPr>
              <w:rFonts w:hint="eastAsia" w:ascii="宋体" w:hAnsi="宋体" w:cs="宋体"/>
              <w:sz w:val="28"/>
              <w:szCs w:val="28"/>
            </w:rPr>
            <w:t>六、与国内其它法律、法规的关系</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_Toc29606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fldChar w:fldCharType="end"/>
          </w:r>
        </w:p>
        <w:p>
          <w:pPr>
            <w:pStyle w:val="14"/>
            <w:tabs>
              <w:tab w:val="right" w:leader="dot" w:pos="8306"/>
            </w:tabs>
            <w:rPr>
              <w:rFonts w:ascii="宋体" w:hAnsi="宋体" w:cs="宋体"/>
              <w:sz w:val="28"/>
              <w:szCs w:val="28"/>
            </w:rPr>
          </w:pPr>
          <w:r>
            <w:fldChar w:fldCharType="begin"/>
          </w:r>
          <w:r>
            <w:instrText xml:space="preserve"> HYPERLINK \l "_Toc12195" </w:instrText>
          </w:r>
          <w:r>
            <w:fldChar w:fldCharType="separate"/>
          </w:r>
          <w:r>
            <w:rPr>
              <w:rFonts w:hint="eastAsia" w:ascii="宋体" w:hAnsi="宋体" w:cs="宋体"/>
              <w:sz w:val="28"/>
              <w:szCs w:val="28"/>
            </w:rPr>
            <w:t>七、重大分歧或重难点的处理经过和依据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_Toc12195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fldChar w:fldCharType="end"/>
          </w:r>
        </w:p>
        <w:p>
          <w:pPr>
            <w:pStyle w:val="14"/>
            <w:tabs>
              <w:tab w:val="right" w:leader="dot" w:pos="8306"/>
            </w:tabs>
            <w:rPr>
              <w:rFonts w:ascii="宋体" w:hAnsi="宋体" w:cs="宋体"/>
              <w:sz w:val="28"/>
              <w:szCs w:val="28"/>
            </w:rPr>
          </w:pPr>
          <w:r>
            <w:fldChar w:fldCharType="begin"/>
          </w:r>
          <w:r>
            <w:instrText xml:space="preserve"> HYPERLINK \l "_Toc3708" </w:instrText>
          </w:r>
          <w:r>
            <w:fldChar w:fldCharType="separate"/>
          </w:r>
          <w:r>
            <w:rPr>
              <w:rFonts w:hint="eastAsia" w:ascii="宋体" w:hAnsi="宋体" w:cs="宋体"/>
              <w:sz w:val="28"/>
              <w:szCs w:val="28"/>
            </w:rPr>
            <w:t>八、采用国际标准的程度及水平说明</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_Toc3708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fldChar w:fldCharType="end"/>
          </w:r>
        </w:p>
        <w:p>
          <w:pPr>
            <w:pStyle w:val="14"/>
            <w:tabs>
              <w:tab w:val="right" w:leader="dot" w:pos="8306"/>
            </w:tabs>
            <w:rPr>
              <w:rFonts w:ascii="宋体" w:hAnsi="宋体" w:cs="宋体"/>
              <w:sz w:val="28"/>
              <w:szCs w:val="28"/>
            </w:rPr>
          </w:pPr>
          <w:r>
            <w:fldChar w:fldCharType="begin"/>
          </w:r>
          <w:r>
            <w:instrText xml:space="preserve"> HYPERLINK \l "_Toc11056" </w:instrText>
          </w:r>
          <w:r>
            <w:fldChar w:fldCharType="separate"/>
          </w:r>
          <w:r>
            <w:rPr>
              <w:rFonts w:hint="eastAsia" w:ascii="宋体" w:hAnsi="宋体" w:cs="宋体"/>
              <w:sz w:val="28"/>
              <w:szCs w:val="28"/>
            </w:rPr>
            <w:t>九、标准推广应用措施及预期效果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_Toc11056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fldChar w:fldCharType="end"/>
          </w:r>
        </w:p>
        <w:p>
          <w:pPr>
            <w:pStyle w:val="14"/>
            <w:tabs>
              <w:tab w:val="right" w:leader="dot" w:pos="8306"/>
            </w:tabs>
            <w:rPr>
              <w:rFonts w:ascii="宋体" w:hAnsi="宋体" w:cs="宋体"/>
              <w:sz w:val="28"/>
              <w:szCs w:val="28"/>
            </w:rPr>
          </w:pPr>
          <w:r>
            <w:fldChar w:fldCharType="begin"/>
          </w:r>
          <w:r>
            <w:instrText xml:space="preserve"> HYPERLINK \l "_Toc5196" </w:instrText>
          </w:r>
          <w:r>
            <w:fldChar w:fldCharType="separate"/>
          </w:r>
          <w:r>
            <w:rPr>
              <w:rFonts w:hint="eastAsia" w:ascii="宋体" w:hAnsi="宋体" w:cs="宋体"/>
              <w:sz w:val="28"/>
              <w:szCs w:val="28"/>
            </w:rPr>
            <w:t>十、其他应说明的事项</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_Toc5196 \h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fldChar w:fldCharType="end"/>
          </w:r>
        </w:p>
        <w:p>
          <w:r>
            <w:rPr>
              <w:rFonts w:hint="eastAsia" w:ascii="宋体" w:hAnsi="宋体" w:eastAsia="宋体" w:cs="宋体"/>
              <w:sz w:val="28"/>
              <w:szCs w:val="28"/>
            </w:rPr>
            <w:fldChar w:fldCharType="end"/>
          </w:r>
        </w:p>
      </w:sdtContent>
    </w:sdt>
    <w:p>
      <w:pPr>
        <w:spacing w:line="360" w:lineRule="auto"/>
        <w:outlineLvl w:val="0"/>
        <w:rPr>
          <w:rFonts w:ascii="黑体" w:hAnsi="黑体" w:eastAsia="黑体" w:cs="黑体"/>
          <w:sz w:val="28"/>
          <w:szCs w:val="28"/>
        </w:rPr>
      </w:pPr>
      <w:bookmarkStart w:id="0" w:name="_Toc8894"/>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sectPr>
          <w:type w:val="continuous"/>
          <w:pgSz w:w="11906" w:h="16838"/>
          <w:pgMar w:top="1440" w:right="1800" w:bottom="1440" w:left="1800" w:header="851" w:footer="992" w:gutter="0"/>
          <w:cols w:space="425" w:num="1"/>
          <w:docGrid w:type="lines" w:linePitch="312" w:charSpace="0"/>
        </w:sectPr>
      </w:pPr>
    </w:p>
    <w:p>
      <w:pPr>
        <w:spacing w:line="360" w:lineRule="auto"/>
        <w:outlineLvl w:val="0"/>
        <w:rPr>
          <w:rFonts w:ascii="黑体" w:hAnsi="黑体" w:eastAsia="黑体" w:cs="黑体"/>
          <w:sz w:val="28"/>
          <w:szCs w:val="28"/>
        </w:rPr>
      </w:pPr>
      <w:r>
        <w:rPr>
          <w:rFonts w:hint="eastAsia" w:ascii="黑体" w:hAnsi="黑体" w:eastAsia="黑体" w:cs="黑体"/>
          <w:sz w:val="28"/>
          <w:szCs w:val="28"/>
        </w:rPr>
        <w:t>一、任务来源</w:t>
      </w:r>
      <w:bookmarkEnd w:id="0"/>
    </w:p>
    <w:p>
      <w:pPr>
        <w:numPr>
          <w:ilvl w:val="0"/>
          <w:numId w:val="2"/>
        </w:numPr>
        <w:spacing w:line="360" w:lineRule="auto"/>
        <w:rPr>
          <w:rFonts w:ascii="宋体" w:hAnsi="宋体" w:eastAsia="宋体" w:cs="宋体"/>
          <w:sz w:val="28"/>
          <w:szCs w:val="28"/>
        </w:rPr>
      </w:pPr>
      <w:r>
        <w:rPr>
          <w:rFonts w:hint="eastAsia" w:ascii="宋体" w:hAnsi="宋体" w:eastAsia="宋体" w:cs="宋体"/>
          <w:sz w:val="28"/>
          <w:szCs w:val="28"/>
        </w:rPr>
        <w:t>编制背景</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2022年12月，在爱国卫生运动开展70周年之际，习近平总书记作出“始终坚守初心使命，传承发扬优良传统，丰富工作内涵，创新工作方式方法，为加快推进健康中国建设作出新的贡献”的重要指示。随着国内外经济的发展和人类活动范围的扩大，新时期人民群众对健康有了新的更高要求。为了预防控制和消除病媒生物危害，防止传染病的发生和流行，保障人民群众身体健康，根据《中华人民共和国传染病防治法》《广东省爱国卫生条例》和《关于印发病媒生物预防控制管理规定的通知》</w:t>
      </w:r>
      <w:r>
        <w:rPr>
          <w:rFonts w:ascii="宋体" w:hAnsi="宋体" w:eastAsia="宋体" w:cs="宋体"/>
          <w:sz w:val="28"/>
          <w:szCs w:val="28"/>
        </w:rPr>
        <w:t>(</w:t>
      </w:r>
      <w:r>
        <w:rPr>
          <w:rFonts w:hint="eastAsia" w:ascii="宋体" w:hAnsi="宋体" w:eastAsia="宋体" w:cs="宋体"/>
          <w:sz w:val="28"/>
          <w:szCs w:val="28"/>
        </w:rPr>
        <w:t>全爱卫发〔</w:t>
      </w:r>
      <w:r>
        <w:rPr>
          <w:rFonts w:ascii="宋体" w:hAnsi="宋体" w:eastAsia="宋体" w:cs="宋体"/>
          <w:sz w:val="28"/>
          <w:szCs w:val="28"/>
        </w:rPr>
        <w:t>2009</w:t>
      </w:r>
      <w:r>
        <w:rPr>
          <w:rFonts w:hint="eastAsia" w:ascii="宋体" w:hAnsi="宋体" w:eastAsia="宋体" w:cs="宋体"/>
          <w:sz w:val="28"/>
          <w:szCs w:val="28"/>
        </w:rPr>
        <w:t>〕</w:t>
      </w:r>
      <w:r>
        <w:rPr>
          <w:rFonts w:ascii="宋体" w:hAnsi="宋体" w:eastAsia="宋体" w:cs="宋体"/>
          <w:sz w:val="28"/>
          <w:szCs w:val="28"/>
        </w:rPr>
        <w:t>9</w:t>
      </w:r>
      <w:r>
        <w:rPr>
          <w:rFonts w:hint="eastAsia" w:ascii="宋体" w:hAnsi="宋体" w:eastAsia="宋体" w:cs="宋体"/>
          <w:sz w:val="28"/>
          <w:szCs w:val="28"/>
        </w:rPr>
        <w:t>号</w:t>
      </w:r>
      <w:r>
        <w:rPr>
          <w:rFonts w:ascii="宋体" w:hAnsi="宋体" w:eastAsia="宋体" w:cs="宋体"/>
          <w:sz w:val="28"/>
          <w:szCs w:val="28"/>
        </w:rPr>
        <w:t>)</w:t>
      </w:r>
      <w:r>
        <w:rPr>
          <w:rFonts w:hint="eastAsia" w:ascii="宋体" w:hAnsi="宋体" w:eastAsia="宋体" w:cs="宋体"/>
          <w:sz w:val="28"/>
          <w:szCs w:val="28"/>
        </w:rPr>
        <w:t>等有关法律、法规，及国家“十四五”规划和</w:t>
      </w:r>
      <w:r>
        <w:rPr>
          <w:rFonts w:ascii="宋体" w:hAnsi="宋体" w:eastAsia="宋体" w:cs="宋体"/>
          <w:sz w:val="28"/>
          <w:szCs w:val="28"/>
        </w:rPr>
        <w:t>2035</w:t>
      </w:r>
      <w:r>
        <w:rPr>
          <w:rFonts w:hint="eastAsia" w:ascii="宋体" w:hAnsi="宋体" w:eastAsia="宋体" w:cs="宋体"/>
          <w:sz w:val="28"/>
          <w:szCs w:val="28"/>
        </w:rPr>
        <w:t>年远景目标纲要，专门就深入开展爱国卫生运动作出规定。</w:t>
      </w:r>
    </w:p>
    <w:p>
      <w:pPr>
        <w:spacing w:line="560" w:lineRule="exact"/>
        <w:ind w:firstLine="560" w:firstLineChars="200"/>
        <w:rPr>
          <w:rFonts w:ascii="仿宋" w:hAnsi="仿宋" w:eastAsia="仿宋" w:cs="仿宋"/>
          <w:color w:val="000000"/>
          <w:sz w:val="32"/>
          <w:szCs w:val="32"/>
          <w:shd w:val="clear" w:color="auto" w:fill="FFFFFF"/>
        </w:rPr>
      </w:pPr>
      <w:r>
        <w:rPr>
          <w:rFonts w:hint="eastAsia" w:ascii="宋体" w:hAnsi="宋体" w:eastAsia="宋体" w:cs="宋体"/>
          <w:sz w:val="28"/>
          <w:szCs w:val="28"/>
        </w:rPr>
        <w:t>病媒生物防控涉及面广、传播潜能不断增加，对人类的健康安全构成了巨大的威胁，需要全社会各行各业和各部门的共同配合，才能有效地降低病媒生物密度风险，预防和控制传染病发生或流行。目前，我市病媒生物预防控制管理工作还存在一些薄弱环节，一些地方和部门对病媒生物预防控制管理工作不够重视，部分基础设施建设存在弱项，农村病媒生物预防控制管理工作亟待加强。为适应新形势下病媒生物预防控制管理工作需要，进一步规范病媒生物预防控制管理工作，建立病媒生物预防控制管理工作长效机制，需要制定相关标准予以保障、参考执行、规范管理。</w:t>
      </w:r>
    </w:p>
    <w:p>
      <w:pPr>
        <w:numPr>
          <w:ilvl w:val="0"/>
          <w:numId w:val="2"/>
        </w:numPr>
        <w:spacing w:line="360" w:lineRule="auto"/>
        <w:rPr>
          <w:rFonts w:ascii="宋体" w:hAnsi="宋体" w:eastAsia="宋体" w:cs="宋体"/>
          <w:sz w:val="28"/>
          <w:szCs w:val="28"/>
        </w:rPr>
      </w:pPr>
      <w:r>
        <w:rPr>
          <w:rFonts w:hint="eastAsia" w:ascii="宋体" w:hAnsi="宋体" w:eastAsia="宋体" w:cs="宋体"/>
          <w:sz w:val="28"/>
          <w:szCs w:val="28"/>
        </w:rPr>
        <w:t>标准制定现况与必要性</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病媒生物防制是控制</w:t>
      </w:r>
      <w:r>
        <w:rPr>
          <w:rFonts w:hint="eastAsia" w:ascii="宋体" w:hAnsi="宋体" w:eastAsia="宋体" w:cs="宋体"/>
          <w:sz w:val="28"/>
          <w:szCs w:val="28"/>
          <w:lang w:eastAsia="zh-CN"/>
        </w:rPr>
        <w:t>病媒</w:t>
      </w:r>
      <w:r>
        <w:rPr>
          <w:rFonts w:hint="eastAsia" w:ascii="宋体" w:hAnsi="宋体" w:eastAsia="宋体" w:cs="宋体"/>
          <w:sz w:val="28"/>
          <w:szCs w:val="28"/>
        </w:rPr>
        <w:t>传染病的重要手段之一，也是爱国卫生运动的一项重要内容。为促进各地做好病媒生物防制工作，国家、省已制定部分相关标准和规范，如：卫生部、国家标准化管理委员会于2011年12月30日发布了GB/T 27775-2011《病媒生物综合管理技术规范-城镇》及GB/T 27776-2011《病媒生物综合管理技术规范-食品生产加工企业》。上述两项国家标准主要对病媒生物综合管理的“基本原则”、“组织管理架构与任务”、“管理程序”作出了方向性的规定，但未对实际管理应用作出详细的规范要求，而在实际工作过程中，可能存在部门职责不清、技术方法不合理、施工流程不规范、防控效果无法保证等情况，而目前国内外暂未具备完整的病媒生物防制的综合管理体系规范可供参考。</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为进一步落实病媒生物预防控制责任，规范经营服务管理，强化监督检查，提高病媒生物预防控制水平，需更有针对性地制定文件对中山市病媒生物预防控制工作予以明确。</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因此，我市亟需出台</w:t>
      </w:r>
      <w:r>
        <w:rPr>
          <w:rFonts w:hint="eastAsia" w:ascii="宋体" w:hAnsi="宋体" w:eastAsia="宋体" w:cs="宋体"/>
          <w:sz w:val="28"/>
          <w:szCs w:val="28"/>
          <w:lang w:val="en-US" w:eastAsia="zh-CN"/>
        </w:rPr>
        <w:t>团体标准文件</w:t>
      </w:r>
      <w:r>
        <w:rPr>
          <w:rFonts w:hint="eastAsia" w:ascii="宋体" w:hAnsi="宋体" w:eastAsia="宋体" w:cs="宋体"/>
          <w:sz w:val="28"/>
          <w:szCs w:val="28"/>
        </w:rPr>
        <w:t>，为中山市各部门、单位和群众开展病媒生物防制工作提供科学、合理的指导和规范参考。</w:t>
      </w:r>
    </w:p>
    <w:p>
      <w:pPr>
        <w:numPr>
          <w:ilvl w:val="0"/>
          <w:numId w:val="2"/>
        </w:numPr>
        <w:spacing w:line="360" w:lineRule="auto"/>
        <w:rPr>
          <w:rFonts w:ascii="宋体" w:hAnsi="宋体" w:eastAsia="宋体" w:cs="宋体"/>
          <w:sz w:val="28"/>
          <w:szCs w:val="28"/>
        </w:rPr>
      </w:pPr>
      <w:r>
        <w:rPr>
          <w:rFonts w:hint="eastAsia" w:ascii="宋体" w:hAnsi="宋体" w:eastAsia="宋体" w:cs="宋体"/>
          <w:sz w:val="28"/>
          <w:szCs w:val="28"/>
        </w:rPr>
        <w:t>目的和意义</w:t>
      </w:r>
    </w:p>
    <w:p>
      <w:pPr>
        <w:ind w:firstLine="560" w:firstLineChars="200"/>
        <w:rPr>
          <w:rFonts w:ascii="宋体" w:hAnsi="宋体" w:eastAsia="宋体" w:cs="宋体"/>
          <w:sz w:val="28"/>
          <w:szCs w:val="28"/>
        </w:rPr>
      </w:pPr>
      <w:r>
        <w:rPr>
          <w:rFonts w:hint="eastAsia" w:ascii="宋体" w:hAnsi="宋体" w:eastAsia="宋体" w:cs="宋体"/>
          <w:sz w:val="28"/>
          <w:szCs w:val="28"/>
        </w:rPr>
        <w:t>本规范结合病媒生物生物学和生态学特性，应用生态系统管理实践中证明行之有效的科学方法和适宜技术，依据现行政策、法规以及必要的人力和财政资源，</w:t>
      </w:r>
      <w:bookmarkStart w:id="13" w:name="_GoBack"/>
      <w:bookmarkEnd w:id="13"/>
      <w:r>
        <w:rPr>
          <w:rFonts w:hint="eastAsia" w:ascii="宋体" w:hAnsi="宋体" w:eastAsia="宋体" w:cs="宋体"/>
          <w:sz w:val="28"/>
          <w:szCs w:val="28"/>
        </w:rPr>
        <w:t>指导各相关单位和群众采取适当的技术措施开展病媒生物防制工作，对减少中山市流行病的发生或传播、提升总体环境卫生水平、提高人民生活质量服务具有重要的现实意义。</w:t>
      </w:r>
    </w:p>
    <w:p>
      <w:pPr>
        <w:spacing w:line="360" w:lineRule="auto"/>
        <w:outlineLvl w:val="0"/>
        <w:rPr>
          <w:rFonts w:ascii="黑体" w:hAnsi="黑体" w:eastAsia="黑体" w:cs="黑体"/>
          <w:sz w:val="28"/>
          <w:szCs w:val="28"/>
        </w:rPr>
      </w:pPr>
      <w:bookmarkStart w:id="1" w:name="_Toc6508"/>
      <w:r>
        <w:rPr>
          <w:rFonts w:hint="eastAsia" w:ascii="黑体" w:hAnsi="黑体" w:eastAsia="黑体" w:cs="黑体"/>
          <w:sz w:val="28"/>
          <w:szCs w:val="28"/>
        </w:rPr>
        <w:t>二、工作简况</w:t>
      </w:r>
      <w:bookmarkEnd w:id="1"/>
    </w:p>
    <w:p>
      <w:pPr>
        <w:spacing w:line="360" w:lineRule="auto"/>
        <w:rPr>
          <w:rFonts w:ascii="宋体" w:hAnsi="宋体" w:eastAsia="宋体" w:cs="宋体"/>
          <w:sz w:val="28"/>
          <w:szCs w:val="28"/>
        </w:rPr>
      </w:pPr>
      <w:r>
        <w:rPr>
          <w:rFonts w:hint="eastAsia" w:ascii="宋体" w:hAnsi="宋体" w:eastAsia="宋体" w:cs="宋体"/>
          <w:sz w:val="28"/>
          <w:szCs w:val="28"/>
        </w:rPr>
        <w:t>（一）主要工作过程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1.标准开题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2023年2月28日，中山市环境科学学会发布《关于征集2023年第一批中山市环境科学学会标准项目的通知》（中环学函〔2023〕06号）征集团体标准制修订项目。1-3月，由中山市卫生健康局统筹协调起草本工作规范的全面工作，中山市除害消毒管理站负责组织前期的调研访谈，在全市范围内开展座谈会议，了解掌握我市不同行业、不同区域的病媒生物防制综合管理所存在的问题，对起草工作规范的侧重点进行探讨研究。4月，中山市卫生健康局</w:t>
      </w:r>
      <w:r>
        <w:rPr>
          <w:rFonts w:hint="eastAsia" w:ascii="宋体" w:hAnsi="宋体" w:eastAsia="宋体" w:cs="宋体"/>
          <w:color w:val="auto"/>
          <w:sz w:val="28"/>
          <w:szCs w:val="28"/>
        </w:rPr>
        <w:t>提交《中山市病媒生物综合管理工作规范》（暂定名，以下简称“《工作规范》”）</w:t>
      </w:r>
      <w:r>
        <w:rPr>
          <w:rFonts w:hint="eastAsia" w:ascii="宋体" w:hAnsi="宋体" w:eastAsia="宋体" w:cs="宋体"/>
          <w:sz w:val="28"/>
          <w:szCs w:val="28"/>
        </w:rPr>
        <w:t>团体标准的立项申请，并完成该标准团体的立项申报工作。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2.标准立项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月，中山市环境科学学会组织专家对《工作规范》进行立项论证，专家一致同意《工作规范》立项。同日，中山市环境科学学会发布《关于中山市环境科学学会202</w:t>
      </w:r>
      <w:r>
        <w:rPr>
          <w:rFonts w:hint="eastAsia" w:ascii="宋体" w:hAnsi="宋体" w:eastAsia="宋体" w:cs="宋体"/>
          <w:sz w:val="28"/>
          <w:szCs w:val="28"/>
          <w:lang w:val="en-US" w:eastAsia="zh-CN"/>
        </w:rPr>
        <w:t>3</w:t>
      </w:r>
      <w:r>
        <w:rPr>
          <w:rFonts w:hint="eastAsia" w:ascii="宋体" w:hAnsi="宋体" w:eastAsia="宋体" w:cs="宋体"/>
          <w:sz w:val="28"/>
          <w:szCs w:val="28"/>
        </w:rPr>
        <w:t>年第一批团体标准制修订项目的公示》，对包括《工作规范》在内的</w:t>
      </w:r>
      <w:r>
        <w:rPr>
          <w:rFonts w:hint="eastAsia" w:ascii="宋体" w:hAnsi="宋体" w:eastAsia="宋体" w:cs="宋体"/>
          <w:sz w:val="28"/>
          <w:szCs w:val="28"/>
          <w:lang w:val="en-US" w:eastAsia="zh-CN"/>
        </w:rPr>
        <w:t>3</w:t>
      </w:r>
      <w:r>
        <w:rPr>
          <w:rFonts w:hint="eastAsia" w:ascii="宋体" w:hAnsi="宋体" w:eastAsia="宋体" w:cs="宋体"/>
          <w:sz w:val="28"/>
          <w:szCs w:val="28"/>
        </w:rPr>
        <w:t>项团体标准项目进行公示。202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12</w:t>
      </w:r>
      <w:r>
        <w:rPr>
          <w:rFonts w:hint="eastAsia" w:ascii="宋体" w:hAnsi="宋体" w:eastAsia="宋体" w:cs="宋体"/>
          <w:sz w:val="28"/>
          <w:szCs w:val="28"/>
        </w:rPr>
        <w:t>日，立项公示期结束，公示期间没有收到单位或个人对团体标准项目的异议意见，中山市环境科学学会发布《关于中山市环境科学学会202</w:t>
      </w:r>
      <w:r>
        <w:rPr>
          <w:rFonts w:hint="eastAsia" w:ascii="宋体" w:hAnsi="宋体" w:eastAsia="宋体" w:cs="宋体"/>
          <w:sz w:val="28"/>
          <w:szCs w:val="28"/>
          <w:lang w:val="en-US" w:eastAsia="zh-CN"/>
        </w:rPr>
        <w:t>3</w:t>
      </w:r>
      <w:r>
        <w:rPr>
          <w:rFonts w:hint="eastAsia" w:ascii="宋体" w:hAnsi="宋体" w:eastAsia="宋体" w:cs="宋体"/>
          <w:sz w:val="28"/>
          <w:szCs w:val="28"/>
        </w:rPr>
        <w:t>年第一批团体标准立项的公告》，《工作规范》正式立项。</w:t>
      </w:r>
    </w:p>
    <w:p>
      <w:pPr>
        <w:numPr>
          <w:ilvl w:val="0"/>
          <w:numId w:val="0"/>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标准编制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2023年</w:t>
      </w:r>
      <w:r>
        <w:rPr>
          <w:rFonts w:hint="eastAsia" w:ascii="宋体" w:hAnsi="宋体" w:eastAsia="宋体" w:cs="宋体"/>
          <w:sz w:val="28"/>
          <w:szCs w:val="28"/>
          <w:lang w:val="en-US" w:eastAsia="zh-CN"/>
        </w:rPr>
        <w:t>6</w:t>
      </w:r>
      <w:r>
        <w:rPr>
          <w:rFonts w:hint="eastAsia" w:ascii="宋体" w:hAnsi="宋体" w:eastAsia="宋体" w:cs="宋体"/>
          <w:sz w:val="28"/>
          <w:szCs w:val="28"/>
        </w:rPr>
        <w:t>月，中山市卫生健康局组建工作小组，开展团体标准草案编制工作。</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本标</w:t>
      </w:r>
      <w:r>
        <w:rPr>
          <w:rFonts w:hint="eastAsia" w:ascii="宋体" w:hAnsi="宋体" w:eastAsia="宋体" w:cs="宋体"/>
          <w:sz w:val="28"/>
          <w:szCs w:val="28"/>
        </w:rPr>
        <w:t>准由中山市卫生健康局提</w:t>
      </w:r>
      <w:r>
        <w:rPr>
          <w:rFonts w:ascii="宋体" w:hAnsi="宋体" w:eastAsia="宋体" w:cs="宋体"/>
          <w:sz w:val="28"/>
          <w:szCs w:val="28"/>
        </w:rPr>
        <w:t>出，由中山市环境科学学会归口管理。本标准</w:t>
      </w:r>
      <w:r>
        <w:rPr>
          <w:rFonts w:hint="eastAsia" w:ascii="宋体" w:hAnsi="宋体" w:eastAsia="宋体" w:cs="宋体"/>
          <w:sz w:val="28"/>
          <w:szCs w:val="28"/>
        </w:rPr>
        <w:t>主要</w:t>
      </w:r>
      <w:r>
        <w:rPr>
          <w:rFonts w:ascii="宋体" w:hAnsi="宋体" w:eastAsia="宋体" w:cs="宋体"/>
          <w:sz w:val="28"/>
          <w:szCs w:val="28"/>
        </w:rPr>
        <w:t>起草单位：</w:t>
      </w:r>
      <w:r>
        <w:rPr>
          <w:rFonts w:hint="eastAsia" w:ascii="宋体" w:hAnsi="宋体" w:eastAsia="宋体" w:cs="宋体"/>
          <w:sz w:val="28"/>
          <w:szCs w:val="28"/>
        </w:rPr>
        <w:t>中山市卫生健康局、中山市</w:t>
      </w:r>
      <w:r>
        <w:rPr>
          <w:rFonts w:ascii="宋体" w:hAnsi="宋体" w:eastAsia="宋体" w:cs="宋体"/>
          <w:sz w:val="28"/>
          <w:szCs w:val="28"/>
        </w:rPr>
        <w:t>除害消毒管理站、中山市疾病预防控制中心、</w:t>
      </w:r>
      <w:r>
        <w:rPr>
          <w:rFonts w:hint="eastAsia" w:ascii="宋体" w:hAnsi="宋体" w:eastAsia="宋体" w:cs="宋体"/>
          <w:sz w:val="28"/>
          <w:szCs w:val="28"/>
        </w:rPr>
        <w:t>中山市卫生监督所</w:t>
      </w:r>
      <w:r>
        <w:rPr>
          <w:rFonts w:hint="eastAsia" w:ascii="宋体" w:hAnsi="宋体" w:eastAsia="宋体" w:cs="宋体"/>
          <w:sz w:val="28"/>
          <w:szCs w:val="28"/>
          <w:lang w:eastAsia="zh-CN"/>
        </w:rPr>
        <w:t>、</w:t>
      </w:r>
      <w:r>
        <w:rPr>
          <w:rFonts w:ascii="宋体" w:hAnsi="宋体" w:eastAsia="宋体" w:cs="宋体"/>
          <w:sz w:val="28"/>
          <w:szCs w:val="28"/>
        </w:rPr>
        <w:t>中山市有害生物防制协会、</w:t>
      </w:r>
      <w:r>
        <w:rPr>
          <w:rFonts w:hint="eastAsia" w:ascii="宋体" w:hAnsi="宋体" w:eastAsia="宋体" w:cs="宋体"/>
          <w:sz w:val="28"/>
          <w:szCs w:val="28"/>
          <w:lang w:val="en-US" w:eastAsia="zh-CN"/>
        </w:rPr>
        <w:t>中山市环境科学学会</w:t>
      </w:r>
      <w:r>
        <w:rPr>
          <w:rFonts w:hint="eastAsia" w:ascii="宋体" w:hAnsi="宋体" w:eastAsia="宋体" w:cs="宋体"/>
          <w:sz w:val="28"/>
          <w:szCs w:val="28"/>
        </w:rPr>
        <w:t>。</w:t>
      </w:r>
    </w:p>
    <w:p>
      <w:pPr>
        <w:spacing w:line="360" w:lineRule="auto"/>
        <w:outlineLvl w:val="0"/>
        <w:rPr>
          <w:rFonts w:ascii="黑体" w:hAnsi="黑体" w:eastAsia="黑体" w:cs="黑体"/>
          <w:sz w:val="28"/>
          <w:szCs w:val="28"/>
        </w:rPr>
      </w:pPr>
      <w:bookmarkStart w:id="2" w:name="_Toc30011"/>
      <w:r>
        <w:rPr>
          <w:rFonts w:hint="eastAsia" w:ascii="黑体" w:hAnsi="黑体" w:eastAsia="黑体" w:cs="黑体"/>
          <w:sz w:val="28"/>
          <w:szCs w:val="28"/>
        </w:rPr>
        <w:t>三、标准制修订原则</w:t>
      </w:r>
      <w:bookmarkEnd w:id="2"/>
    </w:p>
    <w:p>
      <w:pPr>
        <w:spacing w:line="360" w:lineRule="auto"/>
        <w:ind w:firstLine="560" w:firstLineChars="200"/>
        <w:rPr>
          <w:rFonts w:ascii="黑体" w:hAnsi="黑体" w:eastAsia="黑体" w:cs="黑体"/>
          <w:color w:val="auto"/>
          <w:sz w:val="28"/>
          <w:szCs w:val="28"/>
        </w:rPr>
      </w:pPr>
      <w:r>
        <w:rPr>
          <w:rFonts w:hint="eastAsia" w:ascii="宋体" w:hAnsi="宋体" w:eastAsia="宋体" w:cs="宋体"/>
          <w:sz w:val="28"/>
          <w:szCs w:val="28"/>
        </w:rPr>
        <w:t>在修订过程中，</w:t>
      </w:r>
      <w:r>
        <w:rPr>
          <w:rFonts w:hint="eastAsia" w:ascii="宋体" w:hAnsi="宋体" w:eastAsia="宋体" w:cs="宋体"/>
          <w:color w:val="auto"/>
          <w:sz w:val="28"/>
          <w:szCs w:val="28"/>
        </w:rPr>
        <w:t>经共同商定将《中山市病媒生物</w:t>
      </w:r>
      <w:r>
        <w:rPr>
          <w:rFonts w:hint="eastAsia" w:ascii="宋体" w:hAnsi="宋体" w:eastAsia="宋体" w:cs="宋体"/>
          <w:color w:val="auto"/>
          <w:sz w:val="28"/>
          <w:szCs w:val="28"/>
          <w:lang w:val="en-US" w:eastAsia="zh-CN"/>
        </w:rPr>
        <w:t>综合管理</w:t>
      </w:r>
      <w:r>
        <w:rPr>
          <w:rFonts w:hint="eastAsia" w:ascii="宋体" w:hAnsi="宋体" w:eastAsia="宋体" w:cs="宋体"/>
          <w:color w:val="auto"/>
          <w:sz w:val="28"/>
          <w:szCs w:val="28"/>
        </w:rPr>
        <w:t>工作规范》名称修改为《病媒生物综合管理技术规范》（暂定名，以下简称“《</w:t>
      </w:r>
      <w:r>
        <w:rPr>
          <w:rFonts w:hint="eastAsia" w:ascii="宋体" w:hAnsi="宋体" w:eastAsia="宋体" w:cs="宋体"/>
          <w:color w:val="auto"/>
          <w:sz w:val="28"/>
          <w:szCs w:val="28"/>
          <w:lang w:val="en-US" w:eastAsia="zh-CN"/>
        </w:rPr>
        <w:t>技术</w:t>
      </w:r>
      <w:r>
        <w:rPr>
          <w:rFonts w:hint="eastAsia" w:ascii="宋体" w:hAnsi="宋体" w:eastAsia="宋体" w:cs="宋体"/>
          <w:color w:val="auto"/>
          <w:sz w:val="28"/>
          <w:szCs w:val="28"/>
        </w:rPr>
        <w:t>规范》”），《</w:t>
      </w:r>
      <w:r>
        <w:rPr>
          <w:rFonts w:hint="eastAsia" w:ascii="宋体" w:hAnsi="宋体" w:eastAsia="宋体" w:cs="宋体"/>
          <w:color w:val="auto"/>
          <w:sz w:val="28"/>
          <w:szCs w:val="28"/>
          <w:lang w:val="en-US" w:eastAsia="zh-CN"/>
        </w:rPr>
        <w:t>技术</w:t>
      </w:r>
      <w:r>
        <w:rPr>
          <w:rFonts w:hint="eastAsia" w:ascii="宋体" w:hAnsi="宋体" w:eastAsia="宋体" w:cs="宋体"/>
          <w:color w:val="auto"/>
          <w:sz w:val="28"/>
          <w:szCs w:val="28"/>
        </w:rPr>
        <w:t>规范》的编制遵循规范性、一致性和可操作性的原则。首先，《</w:t>
      </w:r>
      <w:r>
        <w:rPr>
          <w:rFonts w:hint="eastAsia" w:ascii="宋体" w:hAnsi="宋体" w:eastAsia="宋体" w:cs="宋体"/>
          <w:color w:val="auto"/>
          <w:sz w:val="28"/>
          <w:szCs w:val="28"/>
          <w:lang w:val="en-US" w:eastAsia="zh-CN"/>
        </w:rPr>
        <w:t>技术</w:t>
      </w:r>
      <w:r>
        <w:rPr>
          <w:rFonts w:hint="eastAsia" w:ascii="宋体" w:hAnsi="宋体" w:eastAsia="宋体" w:cs="宋体"/>
          <w:color w:val="auto"/>
          <w:sz w:val="28"/>
          <w:szCs w:val="28"/>
        </w:rPr>
        <w:t>规范》的起草制定规范化，遵守与制定标准有关的基础标准及相关的法律法规的规定，按照GB/T 1.1—2020《标准化工作导则第1部分：标准化文件的结构和起草规则》、《中山市环境科学学会团体标准管理办法》等编制起草；其次，《</w:t>
      </w:r>
      <w:r>
        <w:rPr>
          <w:rFonts w:hint="eastAsia" w:ascii="宋体" w:hAnsi="宋体" w:eastAsia="宋体" w:cs="宋体"/>
          <w:color w:val="auto"/>
          <w:sz w:val="28"/>
          <w:szCs w:val="28"/>
          <w:lang w:val="en-US" w:eastAsia="zh-CN"/>
        </w:rPr>
        <w:t>技术</w:t>
      </w:r>
      <w:r>
        <w:rPr>
          <w:rFonts w:hint="eastAsia" w:ascii="宋体" w:hAnsi="宋体" w:eastAsia="宋体" w:cs="宋体"/>
          <w:color w:val="auto"/>
          <w:sz w:val="28"/>
          <w:szCs w:val="28"/>
        </w:rPr>
        <w:t>规范》的制定与现行的国家、行业、地方标准协调一致，相互兼容并有机衔接；再次，《</w:t>
      </w:r>
      <w:r>
        <w:rPr>
          <w:rFonts w:hint="eastAsia" w:ascii="宋体" w:hAnsi="宋体" w:eastAsia="宋体" w:cs="宋体"/>
          <w:color w:val="auto"/>
          <w:sz w:val="28"/>
          <w:szCs w:val="28"/>
          <w:lang w:val="en-US" w:eastAsia="zh-CN"/>
        </w:rPr>
        <w:t>技术</w:t>
      </w:r>
      <w:r>
        <w:rPr>
          <w:rFonts w:hint="eastAsia" w:ascii="宋体" w:hAnsi="宋体" w:eastAsia="宋体" w:cs="宋体"/>
          <w:color w:val="auto"/>
          <w:sz w:val="28"/>
          <w:szCs w:val="28"/>
        </w:rPr>
        <w:t>规范》的制定符合国家法律法规、中山市地方性法规等相关规定，并符合中山实际情况，可操作性强。</w:t>
      </w:r>
    </w:p>
    <w:p>
      <w:pPr>
        <w:spacing w:line="360" w:lineRule="auto"/>
        <w:outlineLvl w:val="0"/>
        <w:rPr>
          <w:rFonts w:ascii="黑体" w:hAnsi="黑体" w:eastAsia="黑体" w:cs="黑体"/>
          <w:sz w:val="28"/>
          <w:szCs w:val="28"/>
        </w:rPr>
      </w:pPr>
      <w:bookmarkStart w:id="3" w:name="_Toc11959"/>
      <w:r>
        <w:rPr>
          <w:rFonts w:hint="eastAsia" w:ascii="黑体" w:hAnsi="黑体" w:eastAsia="黑体" w:cs="黑体"/>
          <w:sz w:val="28"/>
          <w:szCs w:val="28"/>
        </w:rPr>
        <w:t>四、主要编制内容及依据</w:t>
      </w:r>
      <w:bookmarkEnd w:id="3"/>
    </w:p>
    <w:p>
      <w:pPr>
        <w:spacing w:line="360" w:lineRule="auto"/>
        <w:rPr>
          <w:rFonts w:ascii="宋体" w:hAnsi="宋体" w:eastAsia="宋体" w:cs="宋体"/>
          <w:sz w:val="28"/>
          <w:szCs w:val="28"/>
        </w:rPr>
      </w:pPr>
      <w:r>
        <w:rPr>
          <w:rFonts w:hint="eastAsia" w:ascii="宋体" w:hAnsi="宋体" w:eastAsia="宋体" w:cs="宋体"/>
          <w:sz w:val="28"/>
          <w:szCs w:val="28"/>
        </w:rPr>
        <w:t>（一）文件内容结构</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 范围</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 规范性引用文件</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 术语和定义</w:t>
      </w:r>
    </w:p>
    <w:p>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4 </w:t>
      </w:r>
      <w:r>
        <w:rPr>
          <w:rFonts w:hint="eastAsia" w:ascii="宋体" w:hAnsi="宋体" w:eastAsia="宋体" w:cs="宋体"/>
          <w:color w:val="auto"/>
          <w:sz w:val="28"/>
          <w:szCs w:val="28"/>
          <w:lang w:val="en-US" w:eastAsia="zh-CN"/>
        </w:rPr>
        <w:t>一般要求</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 农贸市场</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 xml:space="preserve"> 餐饮服务场所</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 xml:space="preserve"> 宾馆饭店</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 xml:space="preserve"> 建筑工地</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 xml:space="preserve"> 商场超市</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 xml:space="preserve"> 医院</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 xml:space="preserve"> 学校</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 xml:space="preserve"> 居民区</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 xml:space="preserve"> 食品生产加工企业</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农村</w:t>
      </w:r>
    </w:p>
    <w:p>
      <w:pPr>
        <w:spacing w:line="360" w:lineRule="auto"/>
        <w:rPr>
          <w:rFonts w:ascii="宋体" w:hAnsi="宋体" w:eastAsia="宋体" w:cs="宋体"/>
          <w:sz w:val="28"/>
          <w:szCs w:val="28"/>
        </w:rPr>
      </w:pPr>
      <w:r>
        <w:rPr>
          <w:rFonts w:hint="eastAsia" w:ascii="宋体" w:hAnsi="宋体" w:cs="宋体"/>
          <w:sz w:val="28"/>
          <w:szCs w:val="28"/>
        </w:rPr>
        <w:t>（二）主要条文说明</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1.范围</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本文件规定了各类场所病媒生物综合管理的一般要求、环境改造、环境治理、防护措施及鼠类、蚊虫、蝇类、蜚蠊防治方法。</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本文件适用于公共环境、农贸市场、餐饮服务场所、宾馆饭店、建筑工地、商场超市、医院、学校、居民区和食品生产加工企业的病媒生物防制。其他场所可参照本文件执行。</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2.规范性引用文件</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本部分为病媒生物综合管理所需要遵循的相关病媒生物管理标准和文件。这些标准和文件的有关条文将成为本标准的组成部分。</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3.术语和定义</w:t>
      </w:r>
    </w:p>
    <w:p>
      <w:pPr>
        <w:spacing w:line="360" w:lineRule="auto"/>
        <w:ind w:firstLine="560" w:firstLineChars="200"/>
        <w:rPr>
          <w:rFonts w:ascii="宋体" w:hAnsi="宋体" w:eastAsia="宋体" w:cs="宋体"/>
          <w:color w:val="auto"/>
          <w:sz w:val="28"/>
          <w:szCs w:val="28"/>
        </w:rPr>
      </w:pPr>
      <w:r>
        <w:rPr>
          <w:rFonts w:ascii="宋体" w:hAnsi="宋体" w:eastAsia="宋体" w:cs="宋体"/>
          <w:color w:val="auto"/>
          <w:sz w:val="28"/>
          <w:szCs w:val="28"/>
        </w:rPr>
        <w:t>本标准对本文中重要术语进行了规定，包括</w:t>
      </w:r>
      <w:r>
        <w:rPr>
          <w:rFonts w:hint="eastAsia" w:ascii="宋体" w:hAnsi="宋体" w:eastAsia="宋体" w:cs="宋体"/>
          <w:color w:val="auto"/>
          <w:sz w:val="28"/>
          <w:szCs w:val="28"/>
        </w:rPr>
        <w:t>病媒生物、防蚊设施、防鼠设施、防蝇设施</w:t>
      </w:r>
      <w:r>
        <w:rPr>
          <w:rFonts w:ascii="宋体" w:hAnsi="宋体" w:eastAsia="宋体" w:cs="宋体"/>
          <w:color w:val="auto"/>
          <w:sz w:val="28"/>
          <w:szCs w:val="28"/>
        </w:rPr>
        <w:t>。</w:t>
      </w:r>
    </w:p>
    <w:p>
      <w:pPr>
        <w:spacing w:line="360" w:lineRule="auto"/>
        <w:ind w:firstLine="560" w:firstLineChars="200"/>
        <w:rPr>
          <w:rFonts w:ascii="宋体" w:hAnsi="宋体" w:eastAsia="宋体" w:cs="宋体"/>
          <w:color w:val="auto"/>
          <w:sz w:val="28"/>
          <w:szCs w:val="28"/>
        </w:rPr>
      </w:pPr>
      <w:r>
        <w:rPr>
          <w:rFonts w:ascii="宋体" w:hAnsi="宋体" w:eastAsia="宋体" w:cs="宋体"/>
          <w:color w:val="auto"/>
          <w:sz w:val="28"/>
          <w:szCs w:val="28"/>
        </w:rPr>
        <w:t>4.标准编制内容</w:t>
      </w:r>
    </w:p>
    <w:p>
      <w:pPr>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一般要求</w:t>
      </w:r>
      <w:r>
        <w:rPr>
          <w:rFonts w:hint="eastAsia" w:ascii="宋体" w:hAnsi="宋体" w:eastAsia="宋体" w:cs="宋体"/>
          <w:color w:val="auto"/>
          <w:sz w:val="28"/>
          <w:szCs w:val="28"/>
        </w:rPr>
        <w:t>：本部分对病媒生物</w:t>
      </w:r>
      <w:r>
        <w:rPr>
          <w:rFonts w:hint="eastAsia" w:ascii="宋体" w:hAnsi="宋体" w:eastAsia="宋体" w:cs="宋体"/>
          <w:color w:val="auto"/>
          <w:sz w:val="28"/>
          <w:szCs w:val="28"/>
          <w:lang w:val="en-US" w:eastAsia="zh-CN"/>
        </w:rPr>
        <w:t>防制的管理要求、调查方法、防制方案、效果评价、防制基本要求等作出了规定。</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（2）农贸市场：本部分对农贸市场的病媒生物管理相关要求做出了规定，包括环境改造、环境治理、防护措施及鼠类、蚊虫、蝇类、蜚蠊防治方法。</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（4）餐饮服务场所：本部分对餐饮服务场所的病媒生物管理相关要求做出了规定，包括环境改造、环境治理、防护措施及鼠类、蚊虫、蝇类、蜚蠊防治方法。</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（5）宾馆饭店：本部分对宾馆饭店的病媒生物管理相关要求做出了规定，包括环境改造、环境治理、防护措施及鼠类、蚊虫、蝇类、蜚蠊防治方法。</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（6）建筑工地：本部分对建筑工地的病媒生物管理相关要求做出了规定，包括环境改造、环境治理、防护措施及鼠类、蚊虫、蝇类、蜚蠊防治方法。</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（7）商场超市：本部分对商场超市的病媒生物管理相关要求做出了规定，包括环境改造、环境治理、防护措施及鼠类、蚊虫、蝇类、蜚蠊防治方法。</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（8）医院：本部分对医院的病媒生物管理相关要求做出了规定，包括环境改造、环境治理、防护措施及鼠类、蚊虫、蝇类、蜚蠊防治方法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注意事项</w:t>
      </w:r>
      <w:r>
        <w:rPr>
          <w:rFonts w:hint="eastAsia" w:ascii="宋体" w:hAnsi="宋体" w:eastAsia="宋体" w:cs="宋体"/>
          <w:color w:val="auto"/>
          <w:sz w:val="28"/>
          <w:szCs w:val="28"/>
        </w:rPr>
        <w:t>。</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（9）学校：</w:t>
      </w:r>
      <w:bookmarkStart w:id="4" w:name="_Toc27234"/>
      <w:r>
        <w:rPr>
          <w:rFonts w:hint="eastAsia" w:ascii="宋体" w:hAnsi="宋体" w:eastAsia="宋体" w:cs="宋体"/>
          <w:color w:val="auto"/>
          <w:sz w:val="28"/>
          <w:szCs w:val="28"/>
        </w:rPr>
        <w:t>本部分对学校的病媒生物管理相关要求做出了规定，包括环境改造、环境治理、防护措施及鼠类、蚊虫、蝇类、蜚蠊防治方法。</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（10）居民区：本部分对居民区的病媒生物管理相关要求做出了规定，包括环境改造、环境治理、防护措施及鼠类、蚊虫、蝇类、蜚蠊防治方法。</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（11）食品生产加工企业：本部分对食品生产加工企业的病媒生物管理相关要求做出了规定，包括环境改造、环境治理、防护措施及鼠类、蚊虫、蝇类、蜚蠊防治方法。</w:t>
      </w:r>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（12）农村：本部分对农村的病媒生物管理相关要求做出了规定，包括农村病媒生物管理</w:t>
      </w:r>
      <w:r>
        <w:rPr>
          <w:rFonts w:hint="eastAsia" w:ascii="宋体" w:hAnsi="宋体" w:eastAsia="宋体" w:cs="宋体"/>
          <w:color w:val="auto"/>
          <w:sz w:val="28"/>
          <w:szCs w:val="28"/>
          <w:lang w:val="en-US" w:eastAsia="zh-CN"/>
        </w:rPr>
        <w:t>要求、工作要求</w:t>
      </w:r>
      <w:r>
        <w:rPr>
          <w:rFonts w:hint="eastAsia" w:ascii="宋体" w:hAnsi="宋体" w:eastAsia="宋体" w:cs="宋体"/>
          <w:color w:val="auto"/>
          <w:sz w:val="28"/>
          <w:szCs w:val="28"/>
        </w:rPr>
        <w:t>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农村区域内相关场所应参照本标准对应场所的要求执行</w:t>
      </w:r>
      <w:r>
        <w:rPr>
          <w:rFonts w:hint="eastAsia" w:ascii="宋体" w:hAnsi="宋体" w:eastAsia="宋体" w:cs="宋体"/>
          <w:color w:val="auto"/>
          <w:sz w:val="28"/>
          <w:szCs w:val="28"/>
        </w:rPr>
        <w:t>。</w:t>
      </w:r>
    </w:p>
    <w:p>
      <w:pPr>
        <w:spacing w:line="360" w:lineRule="auto"/>
        <w:outlineLvl w:val="0"/>
        <w:rPr>
          <w:rFonts w:ascii="黑体" w:hAnsi="黑体" w:eastAsia="黑体" w:cs="黑体"/>
          <w:sz w:val="28"/>
          <w:szCs w:val="28"/>
        </w:rPr>
      </w:pPr>
      <w:bookmarkStart w:id="5" w:name="_Toc13886"/>
      <w:r>
        <w:rPr>
          <w:rFonts w:hint="eastAsia" w:ascii="黑体" w:hAnsi="黑体" w:eastAsia="黑体" w:cs="黑体"/>
          <w:sz w:val="28"/>
          <w:szCs w:val="28"/>
        </w:rPr>
        <w:t>五、主要试验、验证及试行结果</w:t>
      </w:r>
      <w:bookmarkEnd w:id="4"/>
      <w:bookmarkEnd w:id="5"/>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无。</w:t>
      </w:r>
    </w:p>
    <w:p>
      <w:pPr>
        <w:spacing w:line="360" w:lineRule="auto"/>
        <w:outlineLvl w:val="0"/>
        <w:rPr>
          <w:rFonts w:ascii="黑体" w:hAnsi="黑体" w:eastAsia="黑体" w:cs="黑体"/>
          <w:sz w:val="28"/>
          <w:szCs w:val="28"/>
        </w:rPr>
      </w:pPr>
      <w:bookmarkStart w:id="6" w:name="_Toc29606"/>
      <w:r>
        <w:rPr>
          <w:rFonts w:hint="eastAsia" w:ascii="黑体" w:hAnsi="黑体" w:eastAsia="黑体" w:cs="黑体"/>
          <w:sz w:val="28"/>
          <w:szCs w:val="28"/>
        </w:rPr>
        <w:t>六、与国内其它法律、法规的关系</w:t>
      </w:r>
      <w:bookmarkEnd w:id="6"/>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本标准符合《中华人民共和国标准化法》等法律法规文件的规定，并在制定过程中参考了相关领域的国家标准、行业标准和其他省市地方标准，在对等内容的规范方面与现行标准保持兼容和一致，便于参考实施。</w:t>
      </w:r>
    </w:p>
    <w:p>
      <w:pPr>
        <w:outlineLvl w:val="0"/>
        <w:rPr>
          <w:rFonts w:ascii="黑体" w:hAnsi="黑体" w:eastAsia="黑体" w:cs="黑体"/>
          <w:sz w:val="28"/>
          <w:szCs w:val="28"/>
        </w:rPr>
      </w:pPr>
      <w:bookmarkStart w:id="7" w:name="_Toc12195"/>
      <w:r>
        <w:rPr>
          <w:rFonts w:hint="eastAsia" w:ascii="黑体" w:hAnsi="黑体" w:eastAsia="黑体" w:cs="黑体"/>
          <w:sz w:val="28"/>
          <w:szCs w:val="28"/>
        </w:rPr>
        <w:t>七、重大分歧或重难点的处理经过和依据</w:t>
      </w:r>
      <w:bookmarkEnd w:id="7"/>
    </w:p>
    <w:p>
      <w:pPr>
        <w:ind w:firstLine="560" w:firstLineChars="200"/>
        <w:rPr>
          <w:rFonts w:ascii="黑体" w:hAnsi="黑体" w:eastAsia="黑体" w:cs="黑体"/>
          <w:sz w:val="28"/>
          <w:szCs w:val="28"/>
        </w:rPr>
      </w:pPr>
      <w:r>
        <w:rPr>
          <w:rFonts w:hint="eastAsia" w:asciiTheme="minorEastAsia" w:hAnsiTheme="minorEastAsia" w:cstheme="minorEastAsia"/>
          <w:sz w:val="28"/>
          <w:szCs w:val="28"/>
        </w:rPr>
        <w:t>无</w:t>
      </w:r>
    </w:p>
    <w:p>
      <w:pPr>
        <w:spacing w:line="360" w:lineRule="auto"/>
        <w:outlineLvl w:val="0"/>
        <w:rPr>
          <w:rFonts w:ascii="黑体" w:hAnsi="黑体" w:eastAsia="黑体" w:cs="黑体"/>
          <w:sz w:val="28"/>
          <w:szCs w:val="28"/>
        </w:rPr>
      </w:pPr>
      <w:bookmarkStart w:id="8" w:name="_Toc3708"/>
      <w:bookmarkStart w:id="9" w:name="_Toc26292"/>
      <w:r>
        <w:rPr>
          <w:rFonts w:hint="eastAsia" w:ascii="黑体" w:hAnsi="黑体" w:eastAsia="黑体" w:cs="黑体"/>
          <w:sz w:val="28"/>
          <w:szCs w:val="28"/>
        </w:rPr>
        <w:t>八、采用国际标准的程度及水平说明</w:t>
      </w:r>
      <w:bookmarkEnd w:id="8"/>
      <w:bookmarkEnd w:id="9"/>
    </w:p>
    <w:p>
      <w:pPr>
        <w:spacing w:line="360" w:lineRule="auto"/>
        <w:ind w:firstLine="560" w:firstLineChars="200"/>
        <w:rPr>
          <w:rFonts w:ascii="宋体" w:hAnsi="宋体" w:eastAsia="宋体" w:cs="宋体"/>
          <w:sz w:val="28"/>
          <w:szCs w:val="28"/>
        </w:rPr>
      </w:pPr>
      <w:r>
        <w:rPr>
          <w:rFonts w:hint="eastAsia" w:ascii="宋体" w:hAnsi="宋体" w:cs="宋体"/>
          <w:sz w:val="28"/>
          <w:szCs w:val="28"/>
        </w:rPr>
        <w:t>无。</w:t>
      </w:r>
    </w:p>
    <w:p>
      <w:pPr>
        <w:outlineLvl w:val="0"/>
        <w:rPr>
          <w:rFonts w:ascii="黑体" w:hAnsi="黑体" w:eastAsia="黑体" w:cs="黑体"/>
          <w:sz w:val="28"/>
          <w:szCs w:val="28"/>
        </w:rPr>
      </w:pPr>
      <w:bookmarkStart w:id="10" w:name="_Toc11056"/>
      <w:r>
        <w:rPr>
          <w:rFonts w:hint="eastAsia" w:ascii="黑体" w:hAnsi="黑体" w:eastAsia="黑体" w:cs="黑体"/>
          <w:sz w:val="28"/>
          <w:szCs w:val="28"/>
        </w:rPr>
        <w:t>九、标准推广应用措施及预期效果</w:t>
      </w:r>
      <w:bookmarkEnd w:id="10"/>
    </w:p>
    <w:p>
      <w:pPr>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该标准在编制过程中注重因地制宜，充分掌握各类场所特点，引导各类场所开展病媒生物防制工作。同时，为进一步提升病媒生物预防控制效果，建议各地区建立完善的病媒生物综合管理组织架构，明确分工。在市县一级应成立病媒生物综合管理领导小组和病媒生物控制技术指导小组。领导小组由市爱卫会各爱卫成员单位相关负责人组成，并下设办公室，办公室设在市爱卫办；技术指导小组由市爱卫办组织疾控中心、除害消毒站等部门业务骨干组成。各镇、街道可参照市级管理架构的设置，根据实际情况适度调整。</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此外，</w:t>
      </w:r>
      <w:r>
        <w:rPr>
          <w:rFonts w:hint="eastAsia" w:ascii="宋体" w:hAnsi="宋体" w:eastAsia="宋体" w:cs="宋体"/>
          <w:sz w:val="28"/>
          <w:szCs w:val="28"/>
        </w:rPr>
        <w:t>建议通过</w:t>
      </w:r>
      <w:r>
        <w:rPr>
          <w:rFonts w:hint="eastAsia" w:ascii="宋体" w:hAnsi="宋体" w:eastAsia="宋体" w:cs="宋体"/>
          <w:sz w:val="28"/>
          <w:szCs w:val="28"/>
          <w:lang w:val="en-US" w:eastAsia="zh-CN"/>
        </w:rPr>
        <w:t>通过加强</w:t>
      </w:r>
      <w:r>
        <w:rPr>
          <w:rFonts w:hint="eastAsia" w:ascii="宋体" w:hAnsi="宋体" w:eastAsia="宋体" w:cs="宋体"/>
          <w:sz w:val="28"/>
          <w:szCs w:val="28"/>
        </w:rPr>
        <w:t>线上线下宣传、开展试点等形式进行应用推广；实时组织标准宣贯会，使有关人员了解标准、熟悉标准和执行标准，使本标准发挥其应有作用，达到相关规范效果，并对标准实施过程中出现的问题进行记录。</w:t>
      </w:r>
    </w:p>
    <w:p>
      <w:pPr>
        <w:spacing w:line="360" w:lineRule="auto"/>
        <w:outlineLvl w:val="0"/>
        <w:rPr>
          <w:rFonts w:ascii="黑体" w:hAnsi="黑体" w:eastAsia="黑体" w:cs="黑体"/>
          <w:sz w:val="28"/>
          <w:szCs w:val="28"/>
        </w:rPr>
      </w:pPr>
      <w:bookmarkStart w:id="11" w:name="_Toc5196"/>
      <w:bookmarkStart w:id="12" w:name="_Toc7338"/>
      <w:r>
        <w:rPr>
          <w:rFonts w:hint="eastAsia" w:ascii="黑体" w:hAnsi="黑体" w:eastAsia="黑体" w:cs="黑体"/>
          <w:sz w:val="28"/>
          <w:szCs w:val="28"/>
        </w:rPr>
        <w:t>十、其他应说明的事项</w:t>
      </w:r>
      <w:bookmarkEnd w:id="11"/>
      <w:bookmarkEnd w:id="12"/>
    </w:p>
    <w:p>
      <w:pPr>
        <w:ind w:firstLine="560" w:firstLineChars="200"/>
        <w:rPr>
          <w:rFonts w:ascii="黑体" w:hAnsi="黑体" w:eastAsia="黑体" w:cs="黑体"/>
          <w:sz w:val="28"/>
          <w:szCs w:val="28"/>
        </w:rPr>
      </w:pPr>
      <w:r>
        <w:rPr>
          <w:rFonts w:hint="eastAsia" w:ascii="宋体" w:hAnsi="宋体" w:cs="宋体"/>
          <w:sz w:val="28"/>
          <w:szCs w:val="28"/>
        </w:rPr>
        <w:t>由于标准内容主要规定各类场所病媒生物综合管理的一般要求、环境改造、环境治理、防护措施及鼠类、蚊虫、蝇类、蜚蠊防治方法等相关技术要求，为此标准名称“中山市病媒生物</w:t>
      </w:r>
      <w:r>
        <w:rPr>
          <w:rFonts w:hint="eastAsia" w:ascii="宋体" w:hAnsi="宋体" w:cs="宋体"/>
          <w:sz w:val="28"/>
          <w:szCs w:val="28"/>
          <w:lang w:val="en-US" w:eastAsia="zh-CN"/>
        </w:rPr>
        <w:t>综合管理</w:t>
      </w:r>
      <w:r>
        <w:rPr>
          <w:rFonts w:hint="eastAsia" w:ascii="宋体" w:hAnsi="宋体" w:cs="宋体"/>
          <w:sz w:val="28"/>
          <w:szCs w:val="28"/>
        </w:rPr>
        <w:t>工作规范”改为“病媒生物综合管理工作规范”。</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106F6"/>
    <w:multiLevelType w:val="multilevel"/>
    <w:tmpl w:val="109106F6"/>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284"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20"/>
      <w:suff w:val="nothing"/>
      <w:lvlText w:val="%1%2.%3.%4　"/>
      <w:lvlJc w:val="left"/>
      <w:pPr>
        <w:ind w:left="710" w:firstLine="0"/>
      </w:pPr>
      <w:rPr>
        <w:rFonts w:hint="default" w:ascii="黑体" w:hAnsi="Times New Roman" w:eastAsia="黑体" w:cs="黑体"/>
        <w:b w:val="0"/>
        <w:i w:val="0"/>
        <w:color w:val="auto"/>
        <w:sz w:val="21"/>
      </w:rPr>
    </w:lvl>
    <w:lvl w:ilvl="4" w:tentative="0">
      <w:start w:val="1"/>
      <w:numFmt w:val="decimal"/>
      <w:suff w:val="nothing"/>
      <w:lvlText w:val="%1%2.%3.%4.%5　"/>
      <w:lvlJc w:val="left"/>
      <w:pPr>
        <w:ind w:left="284"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3CE416E8"/>
    <w:multiLevelType w:val="singleLevel"/>
    <w:tmpl w:val="3CE416E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MWY2ZjBkNGIxODM4NzhiOTc2ZmU2NTRjMmQ4YmIifQ=="/>
  </w:docVars>
  <w:rsids>
    <w:rsidRoot w:val="00A60404"/>
    <w:rsid w:val="00083863"/>
    <w:rsid w:val="004517B2"/>
    <w:rsid w:val="00625AD9"/>
    <w:rsid w:val="006926B0"/>
    <w:rsid w:val="00696584"/>
    <w:rsid w:val="006D3E84"/>
    <w:rsid w:val="006E3CD5"/>
    <w:rsid w:val="006E7C22"/>
    <w:rsid w:val="00733694"/>
    <w:rsid w:val="00740813"/>
    <w:rsid w:val="007D6EC6"/>
    <w:rsid w:val="007E0B1A"/>
    <w:rsid w:val="00872879"/>
    <w:rsid w:val="0087375C"/>
    <w:rsid w:val="009E4E74"/>
    <w:rsid w:val="00A60404"/>
    <w:rsid w:val="00AE7D38"/>
    <w:rsid w:val="00AF4D19"/>
    <w:rsid w:val="00B82CB0"/>
    <w:rsid w:val="00CF6645"/>
    <w:rsid w:val="00D5547A"/>
    <w:rsid w:val="00DC4013"/>
    <w:rsid w:val="00DF6369"/>
    <w:rsid w:val="00E4029F"/>
    <w:rsid w:val="00E45057"/>
    <w:rsid w:val="00EB325C"/>
    <w:rsid w:val="00EE0935"/>
    <w:rsid w:val="00F76805"/>
    <w:rsid w:val="00F812F8"/>
    <w:rsid w:val="03F90AE6"/>
    <w:rsid w:val="040148A2"/>
    <w:rsid w:val="04617DC4"/>
    <w:rsid w:val="071E2D3E"/>
    <w:rsid w:val="085E3C59"/>
    <w:rsid w:val="0C104C1F"/>
    <w:rsid w:val="0D35493D"/>
    <w:rsid w:val="0DCA6B33"/>
    <w:rsid w:val="0E100F06"/>
    <w:rsid w:val="0EB84EA7"/>
    <w:rsid w:val="0F024CF3"/>
    <w:rsid w:val="0F8B311A"/>
    <w:rsid w:val="0FE8038D"/>
    <w:rsid w:val="11772A9E"/>
    <w:rsid w:val="128265FB"/>
    <w:rsid w:val="12865C3B"/>
    <w:rsid w:val="12C549B5"/>
    <w:rsid w:val="13763F01"/>
    <w:rsid w:val="13E470BD"/>
    <w:rsid w:val="13F54E26"/>
    <w:rsid w:val="15E009D0"/>
    <w:rsid w:val="162666FD"/>
    <w:rsid w:val="16AE4EEB"/>
    <w:rsid w:val="181D6FFB"/>
    <w:rsid w:val="1B66485B"/>
    <w:rsid w:val="1C08618D"/>
    <w:rsid w:val="1DE1641B"/>
    <w:rsid w:val="1F921430"/>
    <w:rsid w:val="2181476E"/>
    <w:rsid w:val="22E212BD"/>
    <w:rsid w:val="244E7A1E"/>
    <w:rsid w:val="249B3CCC"/>
    <w:rsid w:val="26034A0A"/>
    <w:rsid w:val="26A83F7A"/>
    <w:rsid w:val="27370766"/>
    <w:rsid w:val="27906033"/>
    <w:rsid w:val="28A739C6"/>
    <w:rsid w:val="296C5733"/>
    <w:rsid w:val="2A3309C1"/>
    <w:rsid w:val="2BE41B8A"/>
    <w:rsid w:val="2C2E3173"/>
    <w:rsid w:val="2D2233D4"/>
    <w:rsid w:val="30E3277E"/>
    <w:rsid w:val="315A1915"/>
    <w:rsid w:val="31B41A25"/>
    <w:rsid w:val="34293B4A"/>
    <w:rsid w:val="34327C2A"/>
    <w:rsid w:val="34D70F4A"/>
    <w:rsid w:val="3871097C"/>
    <w:rsid w:val="38D0242E"/>
    <w:rsid w:val="3A960861"/>
    <w:rsid w:val="3FBB48C6"/>
    <w:rsid w:val="3FD365F0"/>
    <w:rsid w:val="401C38F2"/>
    <w:rsid w:val="427F375F"/>
    <w:rsid w:val="42C7276B"/>
    <w:rsid w:val="430345BA"/>
    <w:rsid w:val="43715488"/>
    <w:rsid w:val="43BF54BD"/>
    <w:rsid w:val="45D56A34"/>
    <w:rsid w:val="471843AC"/>
    <w:rsid w:val="478A6753"/>
    <w:rsid w:val="48F74BC1"/>
    <w:rsid w:val="4A593283"/>
    <w:rsid w:val="4D0F7FFF"/>
    <w:rsid w:val="4DBA440F"/>
    <w:rsid w:val="4E3F66C2"/>
    <w:rsid w:val="518C150C"/>
    <w:rsid w:val="518C60C3"/>
    <w:rsid w:val="52C9666F"/>
    <w:rsid w:val="52F83A10"/>
    <w:rsid w:val="540E1011"/>
    <w:rsid w:val="54316AAD"/>
    <w:rsid w:val="545E3032"/>
    <w:rsid w:val="551451F5"/>
    <w:rsid w:val="561916B0"/>
    <w:rsid w:val="57B47BFC"/>
    <w:rsid w:val="586D4936"/>
    <w:rsid w:val="58B62446"/>
    <w:rsid w:val="593F4776"/>
    <w:rsid w:val="594C6863"/>
    <w:rsid w:val="5A486DC3"/>
    <w:rsid w:val="5AF60D54"/>
    <w:rsid w:val="5B694D7F"/>
    <w:rsid w:val="5B9C6F02"/>
    <w:rsid w:val="5CB00EB7"/>
    <w:rsid w:val="600B4B3C"/>
    <w:rsid w:val="606B39CF"/>
    <w:rsid w:val="636C7B02"/>
    <w:rsid w:val="6549634D"/>
    <w:rsid w:val="68AA5354"/>
    <w:rsid w:val="69931944"/>
    <w:rsid w:val="6B23319C"/>
    <w:rsid w:val="6BF72D03"/>
    <w:rsid w:val="6E1F40EF"/>
    <w:rsid w:val="70A71CF7"/>
    <w:rsid w:val="718D1601"/>
    <w:rsid w:val="72A83CCB"/>
    <w:rsid w:val="72AB36AB"/>
    <w:rsid w:val="730C4E38"/>
    <w:rsid w:val="733F44B6"/>
    <w:rsid w:val="73CE2209"/>
    <w:rsid w:val="745D44AF"/>
    <w:rsid w:val="74CA6436"/>
    <w:rsid w:val="76326989"/>
    <w:rsid w:val="78776419"/>
    <w:rsid w:val="79C83602"/>
    <w:rsid w:val="7C120DEF"/>
    <w:rsid w:val="7C23124E"/>
    <w:rsid w:val="7CEB5F1C"/>
    <w:rsid w:val="7D6A7A3F"/>
    <w:rsid w:val="7E61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8"/>
    <w:qFormat/>
    <w:uiPriority w:val="0"/>
    <w:rPr>
      <w:b/>
      <w:bCs/>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styleId="11">
    <w:name w:val="annotation reference"/>
    <w:basedOn w:val="8"/>
    <w:qFormat/>
    <w:uiPriority w:val="0"/>
    <w:rPr>
      <w:sz w:val="21"/>
      <w:szCs w:val="21"/>
    </w:rPr>
  </w:style>
  <w:style w:type="paragraph" w:customStyle="1" w:styleId="12">
    <w:name w:val="0text"/>
    <w:basedOn w:val="1"/>
    <w:qFormat/>
    <w:uiPriority w:val="0"/>
    <w:pPr>
      <w:topLinePunct/>
      <w:spacing w:line="400" w:lineRule="atLeast"/>
      <w:ind w:firstLine="200" w:firstLineChars="200"/>
    </w:pPr>
  </w:style>
  <w:style w:type="character" w:customStyle="1" w:styleId="13">
    <w:name w:val="fontstyle01"/>
    <w:qFormat/>
    <w:uiPriority w:val="0"/>
    <w:rPr>
      <w:rFonts w:hint="eastAsia" w:ascii="宋体" w:hAnsi="宋体" w:eastAsia="宋体"/>
      <w:color w:val="000000"/>
      <w:sz w:val="22"/>
      <w:szCs w:val="22"/>
    </w:r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批注框文本 Char"/>
    <w:basedOn w:val="8"/>
    <w:link w:val="3"/>
    <w:qFormat/>
    <w:uiPriority w:val="0"/>
    <w:rPr>
      <w:rFonts w:asciiTheme="minorHAnsi" w:hAnsiTheme="minorHAnsi" w:eastAsiaTheme="minorEastAsia" w:cstheme="minorBidi"/>
      <w:kern w:val="2"/>
      <w:sz w:val="18"/>
      <w:szCs w:val="18"/>
    </w:rPr>
  </w:style>
  <w:style w:type="paragraph" w:customStyle="1" w:styleId="16">
    <w:name w:val="标准文件_段"/>
    <w:basedOn w:val="1"/>
    <w:qFormat/>
    <w:uiPriority w:val="0"/>
    <w:pPr>
      <w:widowControl/>
      <w:autoSpaceDE w:val="0"/>
      <w:autoSpaceDN w:val="0"/>
      <w:ind w:firstLine="200" w:firstLineChars="200"/>
    </w:pPr>
    <w:rPr>
      <w:rFonts w:hint="eastAsia" w:ascii="宋体" w:hAnsi="Times New Roman" w:cs="Times New Roman"/>
      <w:kern w:val="0"/>
      <w:szCs w:val="20"/>
    </w:rPr>
  </w:style>
  <w:style w:type="character" w:customStyle="1" w:styleId="17">
    <w:name w:val="批注文字 Char"/>
    <w:basedOn w:val="8"/>
    <w:link w:val="2"/>
    <w:qFormat/>
    <w:uiPriority w:val="0"/>
    <w:rPr>
      <w:rFonts w:asciiTheme="minorHAnsi" w:hAnsiTheme="minorHAnsi" w:eastAsiaTheme="minorEastAsia" w:cstheme="minorBidi"/>
      <w:kern w:val="2"/>
      <w:sz w:val="21"/>
      <w:szCs w:val="24"/>
    </w:rPr>
  </w:style>
  <w:style w:type="character" w:customStyle="1" w:styleId="18">
    <w:name w:val="批注主题 Char"/>
    <w:basedOn w:val="17"/>
    <w:link w:val="6"/>
    <w:qFormat/>
    <w:uiPriority w:val="0"/>
    <w:rPr>
      <w:rFonts w:asciiTheme="minorHAnsi" w:hAnsiTheme="minorHAnsi" w:eastAsiaTheme="minorEastAsia" w:cstheme="minorBidi"/>
      <w:b/>
      <w:bCs/>
      <w:kern w:val="2"/>
      <w:sz w:val="21"/>
      <w:szCs w:val="24"/>
    </w:rPr>
  </w:style>
  <w:style w:type="paragraph" w:customStyle="1" w:styleId="19">
    <w:name w:val="标准文件_二级无标题"/>
    <w:basedOn w:val="20"/>
    <w:qFormat/>
    <w:uiPriority w:val="0"/>
    <w:pPr>
      <w:spacing w:before="0" w:beforeLines="0" w:after="0" w:afterLines="0"/>
      <w:outlineLvl w:val="9"/>
    </w:pPr>
    <w:rPr>
      <w:rFonts w:ascii="宋体" w:eastAsia="宋体"/>
    </w:rPr>
  </w:style>
  <w:style w:type="paragraph" w:customStyle="1" w:styleId="20">
    <w:name w:val="标准文件_二级条标题"/>
    <w:basedOn w:val="1"/>
    <w:next w:val="16"/>
    <w:qFormat/>
    <w:uiPriority w:val="0"/>
    <w:pPr>
      <w:numPr>
        <w:ilvl w:val="3"/>
        <w:numId w:val="1"/>
      </w:numPr>
      <w:spacing w:before="50" w:beforeLines="50" w:after="50" w:afterLines="50"/>
      <w:ind w:left="0"/>
      <w:outlineLvl w:val="2"/>
    </w:pPr>
    <w:rPr>
      <w:rFonts w:hint="eastAsia" w:ascii="黑体" w:hAnsi="Times New Roman" w:eastAsia="黑体" w:cs="Times New Roman"/>
      <w:kern w:val="0"/>
      <w:szCs w:val="20"/>
    </w:rPr>
  </w:style>
  <w:style w:type="paragraph" w:customStyle="1" w:styleId="21">
    <w:name w:val="标准文件_正文标准名称"/>
    <w:basedOn w:val="1"/>
    <w:qFormat/>
    <w:uiPriority w:val="0"/>
    <w:pPr>
      <w:widowControl/>
      <w:spacing w:before="560" w:after="640" w:line="400" w:lineRule="exact"/>
      <w:jc w:val="center"/>
    </w:pPr>
    <w:rPr>
      <w:rFonts w:hint="eastAsia" w:ascii="黑体" w:hAnsi="宋体" w:eastAsia="黑体"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882</Words>
  <Characters>5031</Characters>
  <Lines>1</Lines>
  <Paragraphs>1</Paragraphs>
  <TotalTime>2</TotalTime>
  <ScaleCrop>false</ScaleCrop>
  <LinksUpToDate>false</LinksUpToDate>
  <CharactersWithSpaces>5902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2023-10-27T09:22:00Z</dcterms:created>
  <dc:creator>用户</dc:creator>
  <cp:lastModifiedBy>yxg</cp:lastModifiedBy>
  <dcterms:modified xsi:type="dcterms:W3CDTF">2023-11-30T14:03:29Z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80C70D4F51AF492B9677719A43C22D24_13</vt:lpwstr>
  </property>
</Properties>
</file>